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9" w:rsidRDefault="001E3989" w:rsidP="001E398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E3989" w:rsidRPr="00F82415" w:rsidRDefault="001E3989" w:rsidP="001E3989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proofErr w:type="gram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</w:t>
      </w:r>
      <w:proofErr w:type="gram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1E3989" w:rsidRPr="00E24815" w:rsidRDefault="001E3989" w:rsidP="001E3989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sz w:val="28"/>
          <w:szCs w:val="28"/>
          <w:lang w:val="ru-RU"/>
        </w:rPr>
        <w:t>п</w:t>
      </w:r>
      <w:proofErr w:type="gramEnd"/>
      <w:r w:rsidRPr="00E24815">
        <w:rPr>
          <w:sz w:val="28"/>
          <w:szCs w:val="28"/>
          <w:lang w:val="ru-RU"/>
        </w:rPr>
        <w:t>ідприємство</w:t>
      </w:r>
      <w:proofErr w:type="spellEnd"/>
      <w:r w:rsidRPr="00E24815">
        <w:rPr>
          <w:sz w:val="28"/>
          <w:szCs w:val="28"/>
          <w:lang w:val="ru-RU"/>
        </w:rPr>
        <w:t xml:space="preserve"> «</w:t>
      </w:r>
      <w:proofErr w:type="spellStart"/>
      <w:r w:rsidRPr="00E24815">
        <w:rPr>
          <w:sz w:val="28"/>
          <w:szCs w:val="28"/>
          <w:lang w:val="ru-RU"/>
        </w:rPr>
        <w:t>Інфоресурс</w:t>
      </w:r>
      <w:proofErr w:type="spellEnd"/>
      <w:r w:rsidRPr="00E24815">
        <w:rPr>
          <w:sz w:val="28"/>
          <w:szCs w:val="28"/>
          <w:lang w:val="ru-RU"/>
        </w:rPr>
        <w:t>».</w:t>
      </w: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1E3989" w:rsidRPr="00E24815" w:rsidRDefault="001E3989" w:rsidP="001E3989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rStyle w:val="rvts0"/>
          <w:color w:val="000000"/>
          <w:sz w:val="28"/>
          <w:szCs w:val="28"/>
          <w:lang w:val="ru-RU"/>
        </w:rPr>
        <w:t>п</w:t>
      </w:r>
      <w:proofErr w:type="gramEnd"/>
      <w:r w:rsidRPr="00E24815">
        <w:rPr>
          <w:rStyle w:val="rvts0"/>
          <w:color w:val="000000"/>
          <w:sz w:val="28"/>
          <w:szCs w:val="28"/>
          <w:lang w:val="ru-RU"/>
        </w:rPr>
        <w:t>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6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1E3989" w:rsidRPr="00E24815" w:rsidRDefault="001E3989" w:rsidP="001E3989">
      <w:pPr>
        <w:spacing w:line="276" w:lineRule="auto"/>
        <w:jc w:val="both"/>
        <w:rPr>
          <w:sz w:val="28"/>
          <w:szCs w:val="28"/>
          <w:lang w:val="ru-RU"/>
        </w:rPr>
      </w:pPr>
    </w:p>
    <w:p w:rsidR="001E3989" w:rsidRDefault="001E3989" w:rsidP="001E398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Розпочато</w:t>
      </w:r>
      <w:proofErr w:type="spellEnd"/>
      <w:r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Pr="001F758C">
        <w:rPr>
          <w:b/>
          <w:sz w:val="28"/>
          <w:szCs w:val="28"/>
          <w:lang w:val="ru-RU"/>
        </w:rPr>
        <w:t>закупі</w:t>
      </w:r>
      <w:proofErr w:type="gramStart"/>
      <w:r w:rsidRPr="001F758C">
        <w:rPr>
          <w:b/>
          <w:sz w:val="28"/>
          <w:szCs w:val="28"/>
          <w:lang w:val="ru-RU"/>
        </w:rPr>
        <w:t>вл</w:t>
      </w:r>
      <w:proofErr w:type="gramEnd"/>
      <w:r w:rsidRPr="001F758C">
        <w:rPr>
          <w:b/>
          <w:sz w:val="28"/>
          <w:szCs w:val="28"/>
          <w:lang w:val="ru-RU"/>
        </w:rPr>
        <w:t>і</w:t>
      </w:r>
      <w:proofErr w:type="spellEnd"/>
      <w:r w:rsidRPr="001F758C">
        <w:rPr>
          <w:b/>
          <w:sz w:val="28"/>
          <w:szCs w:val="28"/>
          <w:lang w:val="ru-RU"/>
        </w:rPr>
        <w:t xml:space="preserve"> </w:t>
      </w:r>
      <w:r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1E3989" w:rsidRPr="008F4E1A" w:rsidRDefault="00381C78" w:rsidP="00162BE2">
      <w:pPr>
        <w:pStyle w:val="a4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 листопада</w:t>
      </w:r>
      <w:r w:rsidR="001E3989">
        <w:rPr>
          <w:sz w:val="28"/>
          <w:szCs w:val="28"/>
          <w:lang w:val="ru-RU"/>
        </w:rPr>
        <w:t xml:space="preserve"> 2024</w:t>
      </w:r>
      <w:r w:rsidR="001E3989" w:rsidRPr="008F4E1A">
        <w:rPr>
          <w:sz w:val="28"/>
          <w:szCs w:val="28"/>
          <w:lang w:val="ru-RU"/>
        </w:rPr>
        <w:t xml:space="preserve"> року</w:t>
      </w:r>
    </w:p>
    <w:p w:rsidR="00381C78" w:rsidRPr="00381C78" w:rsidRDefault="00381C78" w:rsidP="00381C78">
      <w:pPr>
        <w:ind w:firstLine="720"/>
        <w:jc w:val="both"/>
        <w:rPr>
          <w:sz w:val="28"/>
          <w:lang w:val="ru-RU"/>
        </w:rPr>
      </w:pPr>
      <w:proofErr w:type="spellStart"/>
      <w:r w:rsidRPr="00381C78">
        <w:rPr>
          <w:sz w:val="28"/>
          <w:lang w:val="ru-RU"/>
        </w:rPr>
        <w:t>Операційні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системи</w:t>
      </w:r>
      <w:proofErr w:type="spellEnd"/>
      <w:r w:rsidRPr="00381C78">
        <w:rPr>
          <w:sz w:val="28"/>
          <w:lang w:val="ru-RU"/>
        </w:rPr>
        <w:t xml:space="preserve"> - код ДК 021:2015 – 48620000-0 (</w:t>
      </w:r>
      <w:proofErr w:type="spellStart"/>
      <w:r w:rsidRPr="00381C78">
        <w:rPr>
          <w:sz w:val="28"/>
          <w:lang w:val="ru-RU"/>
        </w:rPr>
        <w:t>Ліцензійне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програмне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забезпечення</w:t>
      </w:r>
      <w:proofErr w:type="spellEnd"/>
      <w:r w:rsidRPr="00381C78">
        <w:rPr>
          <w:sz w:val="28"/>
          <w:lang w:val="ru-RU"/>
        </w:rPr>
        <w:t>)</w:t>
      </w:r>
    </w:p>
    <w:p w:rsidR="001E3989" w:rsidRPr="00381C78" w:rsidRDefault="001E3989" w:rsidP="001E3989">
      <w:pPr>
        <w:spacing w:line="276" w:lineRule="auto"/>
        <w:jc w:val="both"/>
        <w:rPr>
          <w:sz w:val="28"/>
          <w:szCs w:val="28"/>
          <w:lang w:val="uk-UA"/>
        </w:rPr>
      </w:pPr>
    </w:p>
    <w:p w:rsidR="001E3989" w:rsidRPr="003B16EC" w:rsidRDefault="001E3989" w:rsidP="001E398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</w:t>
      </w:r>
      <w:proofErr w:type="gramStart"/>
      <w:r w:rsidRPr="003B16EC">
        <w:rPr>
          <w:b/>
          <w:sz w:val="28"/>
          <w:szCs w:val="28"/>
          <w:lang w:val="ru-RU"/>
        </w:rPr>
        <w:t>вл</w:t>
      </w:r>
      <w:proofErr w:type="gramEnd"/>
      <w:r w:rsidRPr="003B16EC">
        <w:rPr>
          <w:b/>
          <w:sz w:val="28"/>
          <w:szCs w:val="28"/>
          <w:lang w:val="ru-RU"/>
        </w:rPr>
        <w:t>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Pr="003B16EC">
        <w:rPr>
          <w:b/>
          <w:sz w:val="28"/>
          <w:szCs w:val="28"/>
          <w:lang w:val="ru-RU"/>
        </w:rPr>
        <w:t>):</w:t>
      </w:r>
    </w:p>
    <w:p w:rsidR="001E3989" w:rsidRPr="003B16EC" w:rsidRDefault="00381C78" w:rsidP="001E3989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r w:rsidRPr="00381C78">
        <w:rPr>
          <w:rFonts w:cstheme="minorHAnsi"/>
          <w:sz w:val="28"/>
        </w:rPr>
        <w:t>UA</w:t>
      </w:r>
      <w:r w:rsidRPr="00381C78">
        <w:rPr>
          <w:rFonts w:cstheme="minorHAnsi"/>
          <w:sz w:val="28"/>
          <w:lang w:val="ru-RU"/>
        </w:rPr>
        <w:t>-2024-11-13-012293-</w:t>
      </w:r>
      <w:r w:rsidRPr="00381C78">
        <w:rPr>
          <w:rFonts w:cstheme="minorHAnsi"/>
          <w:sz w:val="28"/>
        </w:rPr>
        <w:t>a</w:t>
      </w:r>
      <w:r w:rsidR="001E3989" w:rsidRPr="00381C78">
        <w:rPr>
          <w:sz w:val="52"/>
          <w:szCs w:val="28"/>
          <w:lang w:val="ru-RU"/>
        </w:rPr>
        <w:t xml:space="preserve"> </w:t>
      </w:r>
      <w:r w:rsidR="001E3989" w:rsidRPr="001E3989">
        <w:rPr>
          <w:sz w:val="28"/>
          <w:szCs w:val="28"/>
          <w:lang w:val="ru-RU"/>
        </w:rPr>
        <w:t>(</w:t>
      </w:r>
      <w:proofErr w:type="spellStart"/>
      <w:r>
        <w:rPr>
          <w:sz w:val="28"/>
          <w:lang w:val="ru-RU"/>
        </w:rPr>
        <w:t>Відкриті</w:t>
      </w:r>
      <w:proofErr w:type="spellEnd"/>
      <w:r>
        <w:rPr>
          <w:sz w:val="28"/>
          <w:lang w:val="ru-RU"/>
        </w:rPr>
        <w:t xml:space="preserve"> торги з </w:t>
      </w:r>
      <w:proofErr w:type="spellStart"/>
      <w:r>
        <w:rPr>
          <w:sz w:val="28"/>
          <w:lang w:val="ru-RU"/>
        </w:rPr>
        <w:t>особливостями</w:t>
      </w:r>
      <w:proofErr w:type="spellEnd"/>
      <w:r w:rsidR="001E3989" w:rsidRPr="003B16EC">
        <w:rPr>
          <w:rStyle w:val="text-info"/>
          <w:sz w:val="28"/>
          <w:szCs w:val="28"/>
          <w:lang w:val="ru-RU"/>
        </w:rPr>
        <w:t>)</w:t>
      </w:r>
    </w:p>
    <w:p w:rsidR="00162BE2" w:rsidRPr="00381C78" w:rsidRDefault="001E3989" w:rsidP="001E3989">
      <w:pPr>
        <w:spacing w:line="276" w:lineRule="auto"/>
        <w:ind w:right="-28" w:firstLine="709"/>
        <w:jc w:val="both"/>
        <w:rPr>
          <w:sz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7" w:history="1">
        <w:r w:rsidR="00381C78" w:rsidRPr="00381C78">
          <w:rPr>
            <w:rStyle w:val="a7"/>
            <w:sz w:val="28"/>
          </w:rPr>
          <w:t>https</w:t>
        </w:r>
        <w:r w:rsidR="00381C78" w:rsidRPr="00381C78">
          <w:rPr>
            <w:rStyle w:val="a7"/>
            <w:sz w:val="28"/>
            <w:lang w:val="ru-RU"/>
          </w:rPr>
          <w:t>://</w:t>
        </w:r>
        <w:proofErr w:type="spellStart"/>
        <w:r w:rsidR="00381C78" w:rsidRPr="00381C78">
          <w:rPr>
            <w:rStyle w:val="a7"/>
            <w:sz w:val="28"/>
          </w:rPr>
          <w:t>prozorro</w:t>
        </w:r>
        <w:proofErr w:type="spellEnd"/>
        <w:r w:rsidR="00381C78" w:rsidRPr="00381C78">
          <w:rPr>
            <w:rStyle w:val="a7"/>
            <w:sz w:val="28"/>
            <w:lang w:val="ru-RU"/>
          </w:rPr>
          <w:t>.</w:t>
        </w:r>
        <w:proofErr w:type="spellStart"/>
        <w:r w:rsidR="00381C78" w:rsidRPr="00381C78">
          <w:rPr>
            <w:rStyle w:val="a7"/>
            <w:sz w:val="28"/>
          </w:rPr>
          <w:t>gov</w:t>
        </w:r>
        <w:proofErr w:type="spellEnd"/>
        <w:r w:rsidR="00381C78" w:rsidRPr="00381C78">
          <w:rPr>
            <w:rStyle w:val="a7"/>
            <w:sz w:val="28"/>
            <w:lang w:val="ru-RU"/>
          </w:rPr>
          <w:t>.</w:t>
        </w:r>
        <w:proofErr w:type="spellStart"/>
        <w:r w:rsidR="00381C78" w:rsidRPr="00381C78">
          <w:rPr>
            <w:rStyle w:val="a7"/>
            <w:sz w:val="28"/>
          </w:rPr>
          <w:t>ua</w:t>
        </w:r>
        <w:proofErr w:type="spellEnd"/>
        <w:r w:rsidR="00381C78" w:rsidRPr="00381C78">
          <w:rPr>
            <w:rStyle w:val="a7"/>
            <w:sz w:val="28"/>
            <w:lang w:val="ru-RU"/>
          </w:rPr>
          <w:t>/</w:t>
        </w:r>
        <w:r w:rsidR="00381C78" w:rsidRPr="00381C78">
          <w:rPr>
            <w:rStyle w:val="a7"/>
            <w:sz w:val="28"/>
          </w:rPr>
          <w:t>tender</w:t>
        </w:r>
        <w:r w:rsidR="00381C78" w:rsidRPr="00381C78">
          <w:rPr>
            <w:rStyle w:val="a7"/>
            <w:sz w:val="28"/>
            <w:lang w:val="ru-RU"/>
          </w:rPr>
          <w:t>/</w:t>
        </w:r>
        <w:r w:rsidR="00381C78" w:rsidRPr="00381C78">
          <w:rPr>
            <w:rStyle w:val="a7"/>
            <w:sz w:val="28"/>
          </w:rPr>
          <w:t>UA</w:t>
        </w:r>
        <w:r w:rsidR="00381C78" w:rsidRPr="00381C78">
          <w:rPr>
            <w:rStyle w:val="a7"/>
            <w:sz w:val="28"/>
            <w:lang w:val="ru-RU"/>
          </w:rPr>
          <w:t>-2024-11-13-012293-</w:t>
        </w:r>
        <w:r w:rsidR="00381C78" w:rsidRPr="00381C78">
          <w:rPr>
            <w:rStyle w:val="a7"/>
            <w:sz w:val="28"/>
          </w:rPr>
          <w:t>a</w:t>
        </w:r>
      </w:hyperlink>
    </w:p>
    <w:p w:rsidR="00381C78" w:rsidRPr="00381C78" w:rsidRDefault="00381C78" w:rsidP="001E3989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uk-UA"/>
        </w:rPr>
      </w:pPr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proofErr w:type="gram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E3989" w:rsidRDefault="00381C78" w:rsidP="00381C78">
      <w:pPr>
        <w:widowControl/>
        <w:spacing w:line="276" w:lineRule="auto"/>
        <w:ind w:firstLine="720"/>
        <w:contextualSpacing/>
        <w:jc w:val="both"/>
        <w:rPr>
          <w:sz w:val="28"/>
          <w:lang w:val="ru-RU"/>
        </w:rPr>
      </w:pPr>
      <w:proofErr w:type="spellStart"/>
      <w:proofErr w:type="gramStart"/>
      <w:r w:rsidRPr="00381C78">
        <w:rPr>
          <w:sz w:val="28"/>
          <w:lang w:val="ru-RU"/>
        </w:rPr>
        <w:t>Техн</w:t>
      </w:r>
      <w:proofErr w:type="gramEnd"/>
      <w:r w:rsidRPr="00381C78">
        <w:rPr>
          <w:sz w:val="28"/>
          <w:lang w:val="ru-RU"/>
        </w:rPr>
        <w:t>ічні</w:t>
      </w:r>
      <w:proofErr w:type="spellEnd"/>
      <w:r w:rsidRPr="00381C78">
        <w:rPr>
          <w:sz w:val="28"/>
          <w:lang w:val="ru-RU"/>
        </w:rPr>
        <w:t xml:space="preserve">, </w:t>
      </w:r>
      <w:proofErr w:type="spellStart"/>
      <w:r w:rsidRPr="00381C78">
        <w:rPr>
          <w:sz w:val="28"/>
          <w:lang w:val="ru-RU"/>
        </w:rPr>
        <w:t>якісні</w:t>
      </w:r>
      <w:proofErr w:type="spellEnd"/>
      <w:r w:rsidRPr="00381C78">
        <w:rPr>
          <w:sz w:val="28"/>
          <w:lang w:val="ru-RU"/>
        </w:rPr>
        <w:t xml:space="preserve"> та </w:t>
      </w:r>
      <w:proofErr w:type="spellStart"/>
      <w:r w:rsidRPr="00381C78">
        <w:rPr>
          <w:sz w:val="28"/>
          <w:lang w:val="ru-RU"/>
        </w:rPr>
        <w:t>кількісні</w:t>
      </w:r>
      <w:proofErr w:type="spellEnd"/>
      <w:r w:rsidRPr="00381C78">
        <w:rPr>
          <w:sz w:val="28"/>
          <w:lang w:val="ru-RU"/>
        </w:rPr>
        <w:t xml:space="preserve"> характеристики предмета </w:t>
      </w:r>
      <w:proofErr w:type="spellStart"/>
      <w:r w:rsidRPr="00381C78">
        <w:rPr>
          <w:sz w:val="28"/>
          <w:lang w:val="ru-RU"/>
        </w:rPr>
        <w:t>закупівлі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обумовлені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необхідністю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продовження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терміну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дії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ліцензій</w:t>
      </w:r>
      <w:proofErr w:type="spellEnd"/>
      <w:r w:rsidRPr="00381C78">
        <w:rPr>
          <w:sz w:val="28"/>
          <w:lang w:val="ru-RU"/>
        </w:rPr>
        <w:t xml:space="preserve"> на </w:t>
      </w:r>
      <w:proofErr w:type="spellStart"/>
      <w:r w:rsidRPr="00381C78">
        <w:rPr>
          <w:sz w:val="28"/>
          <w:lang w:val="ru-RU"/>
        </w:rPr>
        <w:t>вже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наявне</w:t>
      </w:r>
      <w:proofErr w:type="spellEnd"/>
      <w:r w:rsidRPr="00381C78">
        <w:rPr>
          <w:sz w:val="28"/>
          <w:lang w:val="ru-RU"/>
        </w:rPr>
        <w:t xml:space="preserve"> у </w:t>
      </w:r>
      <w:proofErr w:type="spellStart"/>
      <w:r w:rsidRPr="00381C78">
        <w:rPr>
          <w:sz w:val="28"/>
          <w:lang w:val="ru-RU"/>
        </w:rPr>
        <w:t>замовника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програмне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забезпечення</w:t>
      </w:r>
      <w:proofErr w:type="spellEnd"/>
      <w:r w:rsidRPr="00381C78">
        <w:rPr>
          <w:sz w:val="28"/>
          <w:lang w:val="ru-RU"/>
        </w:rPr>
        <w:t xml:space="preserve">, а </w:t>
      </w:r>
      <w:proofErr w:type="spellStart"/>
      <w:r w:rsidRPr="00381C78">
        <w:rPr>
          <w:sz w:val="28"/>
          <w:lang w:val="ru-RU"/>
        </w:rPr>
        <w:t>також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використання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конкретних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версій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програмних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продуктів</w:t>
      </w:r>
      <w:proofErr w:type="spellEnd"/>
      <w:r w:rsidRPr="00381C78">
        <w:rPr>
          <w:sz w:val="28"/>
          <w:lang w:val="ru-RU"/>
        </w:rPr>
        <w:t xml:space="preserve"> для </w:t>
      </w:r>
      <w:proofErr w:type="spellStart"/>
      <w:r w:rsidRPr="00381C78">
        <w:rPr>
          <w:sz w:val="28"/>
          <w:lang w:val="ru-RU"/>
        </w:rPr>
        <w:t>забезпечення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сумісності</w:t>
      </w:r>
      <w:proofErr w:type="spellEnd"/>
      <w:r w:rsidRPr="00381C78">
        <w:rPr>
          <w:sz w:val="28"/>
          <w:lang w:val="ru-RU"/>
        </w:rPr>
        <w:t xml:space="preserve"> з </w:t>
      </w:r>
      <w:proofErr w:type="spellStart"/>
      <w:r w:rsidRPr="00381C78">
        <w:rPr>
          <w:sz w:val="28"/>
          <w:lang w:val="ru-RU"/>
        </w:rPr>
        <w:t>існуючим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програмноапаратним</w:t>
      </w:r>
      <w:proofErr w:type="spellEnd"/>
      <w:r w:rsidRPr="00381C78">
        <w:rPr>
          <w:sz w:val="28"/>
          <w:lang w:val="ru-RU"/>
        </w:rPr>
        <w:t xml:space="preserve"> комплексом. </w:t>
      </w:r>
      <w:proofErr w:type="spellStart"/>
      <w:r w:rsidRPr="00381C78">
        <w:rPr>
          <w:sz w:val="28"/>
          <w:lang w:val="ru-RU"/>
        </w:rPr>
        <w:t>Відповідно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посилання</w:t>
      </w:r>
      <w:proofErr w:type="spellEnd"/>
      <w:r w:rsidRPr="00381C78">
        <w:rPr>
          <w:sz w:val="28"/>
          <w:lang w:val="ru-RU"/>
        </w:rPr>
        <w:t xml:space="preserve"> на </w:t>
      </w:r>
      <w:proofErr w:type="spellStart"/>
      <w:r w:rsidRPr="00381C78">
        <w:rPr>
          <w:sz w:val="28"/>
          <w:lang w:val="ru-RU"/>
        </w:rPr>
        <w:t>конкретні</w:t>
      </w:r>
      <w:proofErr w:type="spellEnd"/>
      <w:r w:rsidRPr="00381C78">
        <w:rPr>
          <w:sz w:val="28"/>
          <w:lang w:val="ru-RU"/>
        </w:rPr>
        <w:t xml:space="preserve"> марку </w:t>
      </w:r>
      <w:proofErr w:type="spellStart"/>
      <w:r w:rsidRPr="00381C78">
        <w:rPr>
          <w:sz w:val="28"/>
          <w:lang w:val="ru-RU"/>
        </w:rPr>
        <w:t>чи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виробника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або</w:t>
      </w:r>
      <w:proofErr w:type="spellEnd"/>
      <w:r w:rsidRPr="00381C78">
        <w:rPr>
          <w:sz w:val="28"/>
          <w:lang w:val="ru-RU"/>
        </w:rPr>
        <w:t xml:space="preserve"> на </w:t>
      </w:r>
      <w:proofErr w:type="spellStart"/>
      <w:r w:rsidRPr="00381C78">
        <w:rPr>
          <w:sz w:val="28"/>
          <w:lang w:val="ru-RU"/>
        </w:rPr>
        <w:t>конкретний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процес</w:t>
      </w:r>
      <w:proofErr w:type="spellEnd"/>
      <w:r w:rsidRPr="00381C78">
        <w:rPr>
          <w:sz w:val="28"/>
          <w:lang w:val="ru-RU"/>
        </w:rPr>
        <w:t xml:space="preserve">, </w:t>
      </w:r>
      <w:proofErr w:type="spellStart"/>
      <w:r w:rsidRPr="00381C78">
        <w:rPr>
          <w:sz w:val="28"/>
          <w:lang w:val="ru-RU"/>
        </w:rPr>
        <w:t>що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характеризує</w:t>
      </w:r>
      <w:proofErr w:type="spellEnd"/>
      <w:r w:rsidRPr="00381C78">
        <w:rPr>
          <w:sz w:val="28"/>
          <w:lang w:val="ru-RU"/>
        </w:rPr>
        <w:t xml:space="preserve"> продукт </w:t>
      </w:r>
      <w:proofErr w:type="spellStart"/>
      <w:r w:rsidRPr="00381C78">
        <w:rPr>
          <w:sz w:val="28"/>
          <w:lang w:val="ru-RU"/>
        </w:rPr>
        <w:t>чи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послугу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певного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суб’єкта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господарювання</w:t>
      </w:r>
      <w:proofErr w:type="spellEnd"/>
      <w:r w:rsidRPr="00381C78">
        <w:rPr>
          <w:sz w:val="28"/>
          <w:lang w:val="ru-RU"/>
        </w:rPr>
        <w:t xml:space="preserve">, </w:t>
      </w:r>
      <w:proofErr w:type="spellStart"/>
      <w:r w:rsidRPr="00381C78">
        <w:rPr>
          <w:sz w:val="28"/>
          <w:lang w:val="ru-RU"/>
        </w:rPr>
        <w:t>чи</w:t>
      </w:r>
      <w:proofErr w:type="spellEnd"/>
      <w:r w:rsidRPr="00381C78">
        <w:rPr>
          <w:sz w:val="28"/>
          <w:lang w:val="ru-RU"/>
        </w:rPr>
        <w:t xml:space="preserve"> на </w:t>
      </w:r>
      <w:proofErr w:type="spellStart"/>
      <w:r w:rsidRPr="00381C78">
        <w:rPr>
          <w:sz w:val="28"/>
          <w:lang w:val="ru-RU"/>
        </w:rPr>
        <w:t>торгові</w:t>
      </w:r>
      <w:proofErr w:type="spellEnd"/>
      <w:r w:rsidRPr="00381C78">
        <w:rPr>
          <w:sz w:val="28"/>
          <w:lang w:val="ru-RU"/>
        </w:rPr>
        <w:t xml:space="preserve"> марки, </w:t>
      </w:r>
      <w:proofErr w:type="spellStart"/>
      <w:r w:rsidRPr="00381C78">
        <w:rPr>
          <w:sz w:val="28"/>
          <w:lang w:val="ru-RU"/>
        </w:rPr>
        <w:t>патенти</w:t>
      </w:r>
      <w:proofErr w:type="spellEnd"/>
      <w:r w:rsidRPr="00381C78">
        <w:rPr>
          <w:sz w:val="28"/>
          <w:lang w:val="ru-RU"/>
        </w:rPr>
        <w:t xml:space="preserve">, </w:t>
      </w:r>
      <w:proofErr w:type="spellStart"/>
      <w:r w:rsidRPr="00381C78">
        <w:rPr>
          <w:sz w:val="28"/>
          <w:lang w:val="ru-RU"/>
        </w:rPr>
        <w:t>типи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або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конкретне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місце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походження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чи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спосіб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виробництва</w:t>
      </w:r>
      <w:proofErr w:type="spellEnd"/>
      <w:r w:rsidRPr="00381C78">
        <w:rPr>
          <w:sz w:val="28"/>
          <w:lang w:val="ru-RU"/>
        </w:rPr>
        <w:t xml:space="preserve"> предмета </w:t>
      </w:r>
      <w:proofErr w:type="spellStart"/>
      <w:r w:rsidRPr="00381C78">
        <w:rPr>
          <w:sz w:val="28"/>
          <w:lang w:val="ru-RU"/>
        </w:rPr>
        <w:t>закупі</w:t>
      </w:r>
      <w:proofErr w:type="gramStart"/>
      <w:r w:rsidRPr="00381C78">
        <w:rPr>
          <w:sz w:val="28"/>
          <w:lang w:val="ru-RU"/>
        </w:rPr>
        <w:t>вл</w:t>
      </w:r>
      <w:proofErr w:type="gramEnd"/>
      <w:r w:rsidRPr="00381C78">
        <w:rPr>
          <w:sz w:val="28"/>
          <w:lang w:val="ru-RU"/>
        </w:rPr>
        <w:t>і</w:t>
      </w:r>
      <w:proofErr w:type="spellEnd"/>
      <w:r w:rsidRPr="00381C78">
        <w:rPr>
          <w:sz w:val="28"/>
          <w:lang w:val="ru-RU"/>
        </w:rPr>
        <w:t xml:space="preserve"> є </w:t>
      </w:r>
      <w:proofErr w:type="spellStart"/>
      <w:r w:rsidRPr="00381C78">
        <w:rPr>
          <w:sz w:val="28"/>
          <w:lang w:val="ru-RU"/>
        </w:rPr>
        <w:t>необхідним</w:t>
      </w:r>
      <w:proofErr w:type="spellEnd"/>
      <w:r w:rsidRPr="00381C78">
        <w:rPr>
          <w:sz w:val="28"/>
          <w:lang w:val="ru-RU"/>
        </w:rPr>
        <w:t xml:space="preserve">. </w:t>
      </w:r>
      <w:proofErr w:type="spellStart"/>
      <w:r w:rsidRPr="00381C78">
        <w:rPr>
          <w:sz w:val="28"/>
          <w:lang w:val="ru-RU"/>
        </w:rPr>
        <w:t>Програмна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продукція</w:t>
      </w:r>
      <w:proofErr w:type="spellEnd"/>
      <w:r w:rsidRPr="00381C78">
        <w:rPr>
          <w:sz w:val="28"/>
          <w:lang w:val="ru-RU"/>
        </w:rPr>
        <w:t xml:space="preserve"> повинна бути </w:t>
      </w:r>
      <w:proofErr w:type="spellStart"/>
      <w:r w:rsidRPr="00381C78">
        <w:rPr>
          <w:sz w:val="28"/>
          <w:lang w:val="ru-RU"/>
        </w:rPr>
        <w:t>офіційною</w:t>
      </w:r>
      <w:proofErr w:type="spellEnd"/>
      <w:r w:rsidRPr="00381C78">
        <w:rPr>
          <w:sz w:val="28"/>
          <w:lang w:val="ru-RU"/>
        </w:rPr>
        <w:t xml:space="preserve"> в </w:t>
      </w:r>
      <w:proofErr w:type="spellStart"/>
      <w:r w:rsidRPr="00381C78">
        <w:rPr>
          <w:sz w:val="28"/>
          <w:lang w:val="ru-RU"/>
        </w:rPr>
        <w:t>Україні</w:t>
      </w:r>
      <w:proofErr w:type="spellEnd"/>
      <w:r w:rsidRPr="00381C78">
        <w:rPr>
          <w:sz w:val="28"/>
          <w:lang w:val="ru-RU"/>
        </w:rPr>
        <w:t xml:space="preserve"> та на </w:t>
      </w:r>
      <w:proofErr w:type="spellStart"/>
      <w:r w:rsidRPr="00381C78">
        <w:rPr>
          <w:sz w:val="28"/>
          <w:lang w:val="ru-RU"/>
        </w:rPr>
        <w:t>неї</w:t>
      </w:r>
      <w:proofErr w:type="spellEnd"/>
      <w:r w:rsidRPr="00381C78">
        <w:rPr>
          <w:sz w:val="28"/>
          <w:lang w:val="ru-RU"/>
        </w:rPr>
        <w:t xml:space="preserve"> повинна </w:t>
      </w:r>
      <w:proofErr w:type="spellStart"/>
      <w:r w:rsidRPr="00381C78">
        <w:rPr>
          <w:sz w:val="28"/>
          <w:lang w:val="ru-RU"/>
        </w:rPr>
        <w:t>розповсюджуватися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офіційна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proofErr w:type="gramStart"/>
      <w:r w:rsidRPr="00381C78">
        <w:rPr>
          <w:sz w:val="28"/>
          <w:lang w:val="ru-RU"/>
        </w:rPr>
        <w:t>п</w:t>
      </w:r>
      <w:proofErr w:type="gramEnd"/>
      <w:r w:rsidRPr="00381C78">
        <w:rPr>
          <w:sz w:val="28"/>
          <w:lang w:val="ru-RU"/>
        </w:rPr>
        <w:t>ідтримка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виробника</w:t>
      </w:r>
      <w:proofErr w:type="spellEnd"/>
      <w:r w:rsidRPr="00381C78">
        <w:rPr>
          <w:sz w:val="28"/>
          <w:lang w:val="ru-RU"/>
        </w:rPr>
        <w:t xml:space="preserve">, а </w:t>
      </w:r>
      <w:proofErr w:type="spellStart"/>
      <w:r w:rsidRPr="00381C78">
        <w:rPr>
          <w:sz w:val="28"/>
          <w:lang w:val="ru-RU"/>
        </w:rPr>
        <w:t>також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учасник</w:t>
      </w:r>
      <w:proofErr w:type="spellEnd"/>
      <w:r w:rsidRPr="00381C78">
        <w:rPr>
          <w:sz w:val="28"/>
          <w:lang w:val="ru-RU"/>
        </w:rPr>
        <w:t xml:space="preserve"> повинен </w:t>
      </w:r>
      <w:proofErr w:type="spellStart"/>
      <w:r w:rsidRPr="00381C78">
        <w:rPr>
          <w:sz w:val="28"/>
          <w:lang w:val="ru-RU"/>
        </w:rPr>
        <w:t>мати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необхідні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повноваження</w:t>
      </w:r>
      <w:proofErr w:type="spellEnd"/>
      <w:r w:rsidRPr="00381C78">
        <w:rPr>
          <w:sz w:val="28"/>
          <w:lang w:val="ru-RU"/>
        </w:rPr>
        <w:t xml:space="preserve"> та </w:t>
      </w:r>
      <w:proofErr w:type="spellStart"/>
      <w:r w:rsidRPr="00381C78">
        <w:rPr>
          <w:sz w:val="28"/>
          <w:lang w:val="ru-RU"/>
        </w:rPr>
        <w:t>рівень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кваліфікації</w:t>
      </w:r>
      <w:proofErr w:type="spellEnd"/>
      <w:r w:rsidRPr="00381C78">
        <w:rPr>
          <w:sz w:val="28"/>
          <w:lang w:val="ru-RU"/>
        </w:rPr>
        <w:t xml:space="preserve">, </w:t>
      </w:r>
      <w:proofErr w:type="spellStart"/>
      <w:r w:rsidRPr="00381C78">
        <w:rPr>
          <w:sz w:val="28"/>
          <w:lang w:val="ru-RU"/>
        </w:rPr>
        <w:t>що</w:t>
      </w:r>
      <w:proofErr w:type="spellEnd"/>
      <w:r w:rsidRPr="00381C78">
        <w:rPr>
          <w:sz w:val="28"/>
          <w:lang w:val="ru-RU"/>
        </w:rPr>
        <w:t xml:space="preserve"> повинно бути </w:t>
      </w:r>
      <w:proofErr w:type="spellStart"/>
      <w:r w:rsidRPr="00381C78">
        <w:rPr>
          <w:sz w:val="28"/>
          <w:lang w:val="ru-RU"/>
        </w:rPr>
        <w:t>підтвердженим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виробником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або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офіційним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представництвом</w:t>
      </w:r>
      <w:proofErr w:type="spellEnd"/>
      <w:r w:rsidRPr="00381C78">
        <w:rPr>
          <w:sz w:val="28"/>
          <w:lang w:val="ru-RU"/>
        </w:rPr>
        <w:t xml:space="preserve"> </w:t>
      </w:r>
      <w:proofErr w:type="spellStart"/>
      <w:r w:rsidRPr="00381C78">
        <w:rPr>
          <w:sz w:val="28"/>
          <w:lang w:val="ru-RU"/>
        </w:rPr>
        <w:t>виробника</w:t>
      </w:r>
      <w:proofErr w:type="spellEnd"/>
      <w:r w:rsidRPr="00381C78">
        <w:rPr>
          <w:sz w:val="28"/>
          <w:lang w:val="ru-RU"/>
        </w:rPr>
        <w:t xml:space="preserve"> в </w:t>
      </w:r>
      <w:proofErr w:type="spellStart"/>
      <w:r w:rsidRPr="00381C78">
        <w:rPr>
          <w:sz w:val="28"/>
          <w:lang w:val="ru-RU"/>
        </w:rPr>
        <w:t>Україні</w:t>
      </w:r>
      <w:proofErr w:type="spellEnd"/>
      <w:r w:rsidRPr="00381C78">
        <w:rPr>
          <w:sz w:val="28"/>
          <w:lang w:val="ru-RU"/>
        </w:rPr>
        <w:t>.</w:t>
      </w:r>
    </w:p>
    <w:p w:rsidR="00381C78" w:rsidRPr="00381C78" w:rsidRDefault="00381C78" w:rsidP="00381C78">
      <w:pPr>
        <w:widowControl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36"/>
          <w:szCs w:val="28"/>
          <w:lang w:val="ru-RU"/>
        </w:rPr>
      </w:pPr>
      <w:bookmarkStart w:id="0" w:name="_GoBack"/>
      <w:bookmarkEnd w:id="0"/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E3989" w:rsidRDefault="001E3989" w:rsidP="001E3989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E3989" w:rsidRDefault="001E3989" w:rsidP="001E3989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</w:t>
      </w:r>
      <w:proofErr w:type="gram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вл</w:t>
      </w:r>
      <w:proofErr w:type="gram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E3989" w:rsidRPr="00AB2122" w:rsidRDefault="001E3989" w:rsidP="001E3989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</w:t>
      </w:r>
      <w:proofErr w:type="gramStart"/>
      <w:r w:rsidRPr="00AB2122">
        <w:rPr>
          <w:sz w:val="28"/>
          <w:szCs w:val="28"/>
          <w:lang w:val="ru-RU"/>
        </w:rPr>
        <w:t>вл</w:t>
      </w:r>
      <w:proofErr w:type="gramEnd"/>
      <w:r w:rsidRPr="00AB2122">
        <w:rPr>
          <w:sz w:val="28"/>
          <w:szCs w:val="28"/>
          <w:lang w:val="ru-RU"/>
        </w:rPr>
        <w:t>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 xml:space="preserve">.     </w:t>
      </w:r>
    </w:p>
    <w:p w:rsidR="001E3989" w:rsidRPr="00D57985" w:rsidRDefault="001E3989" w:rsidP="001E3989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E3989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E3989" w:rsidRPr="003D05C1" w:rsidRDefault="001E3989" w:rsidP="001E3989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721C91" wp14:editId="7DBECC46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69.4pt;margin-top:139.5pt;width:484.95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AFA553" wp14:editId="3C66196D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69.4pt;margin-top:153.3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1E3989" w:rsidRDefault="001E3989" w:rsidP="001E3989">
      <w:pPr>
        <w:ind w:right="-30"/>
        <w:jc w:val="both"/>
        <w:rPr>
          <w:lang w:val="ru-RU"/>
        </w:rPr>
      </w:pPr>
    </w:p>
    <w:p w:rsidR="004D640B" w:rsidRPr="001E3989" w:rsidRDefault="004D640B" w:rsidP="001E3989"/>
    <w:sectPr w:rsidR="004D640B" w:rsidRPr="001E3989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62BE2"/>
    <w:rsid w:val="001E3989"/>
    <w:rsid w:val="001F758C"/>
    <w:rsid w:val="00251E62"/>
    <w:rsid w:val="00265B6E"/>
    <w:rsid w:val="00275B26"/>
    <w:rsid w:val="002D2B8B"/>
    <w:rsid w:val="002E7999"/>
    <w:rsid w:val="00310C55"/>
    <w:rsid w:val="00381C78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11-13-01229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/pr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ПОЛЯ</cp:lastModifiedBy>
  <cp:revision>3</cp:revision>
  <dcterms:created xsi:type="dcterms:W3CDTF">2024-12-31T10:59:00Z</dcterms:created>
  <dcterms:modified xsi:type="dcterms:W3CDTF">2024-12-31T11:05:00Z</dcterms:modified>
</cp:coreProperties>
</file>